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85"/>
      </w:tblGrid>
      <w:tr>
        <w:trPr>
          <w:trHeight w:hRule="atLeast" w:val="1246"/>
        </w:trP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b w:val="0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Даны разъяснения по вопросу образования земельных участков при выполнении комплексных кадастровых</w:t>
            </w:r>
            <w:r>
              <w:rPr>
                <w:rFonts w:ascii="Times New Roman" w:hAnsi="Times New Roman"/>
                <w:b w:val="1"/>
                <w:sz w:val="28"/>
              </w:rPr>
              <w:t xml:space="preserve"> рабо</w:t>
            </w:r>
            <w:r>
              <w:rPr>
                <w:rFonts w:ascii="Times New Roman" w:hAnsi="Times New Roman"/>
                <w:b w:val="1"/>
                <w:sz w:val="28"/>
              </w:rPr>
              <w:t>т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В письме Росрестра от 17.12.2020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5 №8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-04589/25 «По вопросу образования земельных участков при выполнении комплексны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х кадастровых работ»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даны разъяснения по вопросу образования земельных участков при выполнении комплексных кадастровых работ.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Сообщается, в частности, что при выполнении комплексных кадастровых работ (далее - ККР) образование земельных участков, незанятых зданиями, сооружениями, может осуществляться на основании утвержденной схемы расположения земельного участка на кадастровом плане территории.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соответствии с пунктом 3 статьи 11.10 ЗК РФ подготовка схемы расположения земельного участка обеспечивается исполнительным органом государственной власти или органом местного самоуправления, предусмотренными статьей 39.2 ЗК РФ.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силу пункта 2 статьи 11.3 ЗК РФ образование земельного участка из земель или земельных участков, находящихся в государственной или муниципальной собственности, в соответствии с утвержденной в порядке, установленном ЗК РФ, схемой расположения земельного участка допускается при отсутствии утвержденного проекта межевания территории с учетом положений, предусмотренных пунктом 3 указанной статьи, за исключением случаев, установленных федеральными законами. </w:t>
      </w:r>
      <w:r>
        <w:rPr>
          <w:rFonts w:ascii="Times New Roman" w:hAnsi="Times New Roman"/>
          <w:b w:val="0"/>
          <w:sz w:val="28"/>
        </w:rPr>
        <w:t>При этом схема расположения земельного участка утверждается решением исполнительного органа государственной власти или органа местного самоуправления, уполномоченных на предоставление находящихся в государственной или муниципальной собственности земельных участков, если иное не предусмотрено ЗК РФ (пункт 13 статьи 11.10 ЗК РФ).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учетом изложенного, образование земельных участков на основании схемы расположения зем</w:t>
      </w:r>
      <w:r>
        <w:rPr>
          <w:rFonts w:ascii="Times New Roman" w:hAnsi="Times New Roman"/>
          <w:b w:val="0"/>
          <w:sz w:val="28"/>
        </w:rPr>
        <w:t xml:space="preserve">ельного участка в рамках ККР возможно при наличии на момент выполнения ККР утвержденной в порядке, установленном ЗК РФ, схемы расположения земельного участка и </w:t>
      </w:r>
      <w:r>
        <w:rPr>
          <w:rFonts w:ascii="Times New Roman" w:hAnsi="Times New Roman"/>
          <w:b w:val="0"/>
          <w:sz w:val="28"/>
        </w:rPr>
        <w:t>при условии, если образование таких земельных участков предусмотрено федеральными законами.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br/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3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4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5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8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9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B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2026-02-18T08:37:53Z</dcterms:modified>
</cp:coreProperties>
</file>